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720" w:rsidRPr="00225B40" w:rsidRDefault="00820720" w:rsidP="00820720">
      <w:pPr>
        <w:spacing w:line="240" w:lineRule="auto"/>
        <w:jc w:val="center"/>
        <w:rPr>
          <w:rFonts w:eastAsia="Times New Roman"/>
          <w:szCs w:val="24"/>
          <w:lang w:eastAsia="es-CO"/>
        </w:rPr>
      </w:pPr>
      <w:bookmarkStart w:id="0" w:name="_GoBack"/>
      <w:bookmarkEnd w:id="0"/>
      <w:r w:rsidRPr="00225B40">
        <w:rPr>
          <w:rFonts w:eastAsia="Times New Roman"/>
          <w:b/>
          <w:szCs w:val="24"/>
          <w:lang w:eastAsia="es-CO"/>
        </w:rPr>
        <w:t>OFICIO N° 019735</w:t>
      </w:r>
    </w:p>
    <w:p w:rsidR="00820720" w:rsidRPr="00225B40" w:rsidRDefault="00820720" w:rsidP="00820720">
      <w:pPr>
        <w:spacing w:line="240" w:lineRule="auto"/>
        <w:jc w:val="center"/>
        <w:rPr>
          <w:rFonts w:eastAsia="Times New Roman"/>
          <w:szCs w:val="24"/>
          <w:lang w:eastAsia="es-CO"/>
        </w:rPr>
      </w:pPr>
      <w:r w:rsidRPr="00225B40">
        <w:rPr>
          <w:rFonts w:eastAsia="Times New Roman"/>
          <w:b/>
          <w:szCs w:val="24"/>
          <w:lang w:eastAsia="es-CO"/>
        </w:rPr>
        <w:t>25-03-2014</w:t>
      </w:r>
    </w:p>
    <w:p w:rsidR="00820720" w:rsidRPr="00225B40" w:rsidRDefault="00820720" w:rsidP="00820720">
      <w:pPr>
        <w:spacing w:line="240" w:lineRule="auto"/>
        <w:jc w:val="center"/>
        <w:rPr>
          <w:rFonts w:eastAsia="Times New Roman"/>
          <w:szCs w:val="24"/>
          <w:lang w:eastAsia="es-CO"/>
        </w:rPr>
      </w:pPr>
      <w:r w:rsidRPr="00225B40">
        <w:rPr>
          <w:rFonts w:eastAsia="Times New Roman"/>
          <w:b/>
          <w:szCs w:val="24"/>
          <w:lang w:eastAsia="es-CO"/>
        </w:rPr>
        <w:t>DIAN</w:t>
      </w:r>
    </w:p>
    <w:p w:rsidR="00820720" w:rsidRPr="00225B40" w:rsidRDefault="00820720" w:rsidP="00820720">
      <w:pPr>
        <w:spacing w:line="240" w:lineRule="auto"/>
        <w:rPr>
          <w:rFonts w:eastAsia="Times New Roman"/>
          <w:szCs w:val="24"/>
          <w:lang w:eastAsia="es-CO"/>
        </w:rPr>
      </w:pPr>
      <w:r w:rsidRPr="00225B40">
        <w:rPr>
          <w:rFonts w:eastAsia="Times New Roman"/>
          <w:szCs w:val="24"/>
          <w:lang w:eastAsia="es-CO"/>
        </w:rPr>
        <w:t> </w:t>
      </w:r>
    </w:p>
    <w:p w:rsidR="00820720" w:rsidRPr="00225B40" w:rsidRDefault="00820720" w:rsidP="00820720">
      <w:pPr>
        <w:spacing w:line="240" w:lineRule="auto"/>
        <w:rPr>
          <w:rFonts w:eastAsia="Times New Roman"/>
          <w:szCs w:val="24"/>
          <w:lang w:eastAsia="es-CO"/>
        </w:rPr>
      </w:pPr>
      <w:r w:rsidRPr="00225B40">
        <w:rPr>
          <w:rFonts w:eastAsia="Times New Roman"/>
          <w:szCs w:val="24"/>
          <w:lang w:eastAsia="es-CO"/>
        </w:rPr>
        <w:t> </w:t>
      </w:r>
    </w:p>
    <w:p w:rsidR="00820720" w:rsidRPr="00225B40" w:rsidRDefault="00820720" w:rsidP="00820720">
      <w:pPr>
        <w:spacing w:line="240" w:lineRule="auto"/>
        <w:rPr>
          <w:rFonts w:eastAsia="Times New Roman"/>
          <w:szCs w:val="24"/>
          <w:lang w:eastAsia="es-CO"/>
        </w:rPr>
      </w:pPr>
      <w:r w:rsidRPr="00225B40">
        <w:rPr>
          <w:rFonts w:eastAsia="Times New Roman"/>
          <w:szCs w:val="24"/>
          <w:lang w:eastAsia="es-CO"/>
        </w:rPr>
        <w:t>Subdirección de Gestión Normativa y Doctrina</w:t>
      </w:r>
    </w:p>
    <w:p w:rsidR="00820720" w:rsidRPr="00225B40" w:rsidRDefault="00820720" w:rsidP="00820720">
      <w:pPr>
        <w:spacing w:line="240" w:lineRule="auto"/>
        <w:rPr>
          <w:rFonts w:eastAsia="Times New Roman"/>
          <w:szCs w:val="24"/>
          <w:lang w:eastAsia="es-CO"/>
        </w:rPr>
      </w:pPr>
      <w:r w:rsidRPr="00225B40">
        <w:rPr>
          <w:rFonts w:eastAsia="Times New Roman"/>
          <w:szCs w:val="24"/>
          <w:lang w:eastAsia="es-CO"/>
        </w:rPr>
        <w:t>Bogotá, D.C.</w:t>
      </w:r>
    </w:p>
    <w:p w:rsidR="00820720" w:rsidRPr="00225B40" w:rsidRDefault="00820720" w:rsidP="00820720">
      <w:pPr>
        <w:spacing w:line="240" w:lineRule="auto"/>
        <w:rPr>
          <w:rFonts w:eastAsia="Times New Roman"/>
          <w:szCs w:val="24"/>
          <w:lang w:eastAsia="es-CO"/>
        </w:rPr>
      </w:pPr>
      <w:r w:rsidRPr="00225B40">
        <w:rPr>
          <w:rFonts w:eastAsia="Times New Roman"/>
          <w:szCs w:val="24"/>
          <w:lang w:eastAsia="es-CO"/>
        </w:rPr>
        <w:t>100208221- 000244</w:t>
      </w:r>
    </w:p>
    <w:p w:rsidR="00820720" w:rsidRPr="00225B40" w:rsidRDefault="00820720" w:rsidP="00820720">
      <w:pPr>
        <w:spacing w:line="240" w:lineRule="auto"/>
        <w:rPr>
          <w:rFonts w:eastAsia="Times New Roman"/>
          <w:szCs w:val="24"/>
          <w:lang w:eastAsia="es-CO"/>
        </w:rPr>
      </w:pPr>
      <w:r w:rsidRPr="00225B40">
        <w:rPr>
          <w:rFonts w:eastAsia="Times New Roman"/>
          <w:szCs w:val="24"/>
          <w:lang w:eastAsia="es-CO"/>
        </w:rPr>
        <w:t> </w:t>
      </w:r>
    </w:p>
    <w:p w:rsidR="00820720" w:rsidRPr="00225B40" w:rsidRDefault="00820720" w:rsidP="00820720">
      <w:pPr>
        <w:spacing w:line="240" w:lineRule="auto"/>
        <w:rPr>
          <w:rFonts w:eastAsia="Times New Roman"/>
          <w:szCs w:val="24"/>
          <w:lang w:eastAsia="es-CO"/>
        </w:rPr>
      </w:pPr>
      <w:r w:rsidRPr="00225B40">
        <w:rPr>
          <w:rFonts w:eastAsia="Times New Roman"/>
          <w:szCs w:val="24"/>
          <w:lang w:eastAsia="es-CO"/>
        </w:rPr>
        <w:t>Doctor</w:t>
      </w:r>
    </w:p>
    <w:p w:rsidR="00820720" w:rsidRPr="00225B40" w:rsidRDefault="00820720" w:rsidP="00820720">
      <w:pPr>
        <w:spacing w:line="240" w:lineRule="auto"/>
        <w:rPr>
          <w:rFonts w:eastAsia="Times New Roman"/>
          <w:szCs w:val="24"/>
          <w:lang w:eastAsia="es-CO"/>
        </w:rPr>
      </w:pPr>
      <w:r w:rsidRPr="00225B40">
        <w:rPr>
          <w:rFonts w:eastAsia="Times New Roman"/>
          <w:b/>
          <w:szCs w:val="24"/>
          <w:lang w:eastAsia="es-CO"/>
        </w:rPr>
        <w:t>PEDRO LUIS BOHÓRQUEZ RAMÍREZ</w:t>
      </w:r>
    </w:p>
    <w:p w:rsidR="00820720" w:rsidRPr="00225B40" w:rsidRDefault="00820720" w:rsidP="00820720">
      <w:pPr>
        <w:spacing w:line="240" w:lineRule="auto"/>
        <w:rPr>
          <w:rFonts w:eastAsia="Times New Roman"/>
          <w:szCs w:val="24"/>
          <w:lang w:eastAsia="es-CO"/>
        </w:rPr>
      </w:pPr>
      <w:r w:rsidRPr="00225B40">
        <w:rPr>
          <w:rFonts w:eastAsia="Times New Roman"/>
          <w:szCs w:val="24"/>
          <w:lang w:eastAsia="es-CO"/>
        </w:rPr>
        <w:t>Contador General de la Nación</w:t>
      </w:r>
    </w:p>
    <w:p w:rsidR="00820720" w:rsidRPr="00225B40" w:rsidRDefault="00820720" w:rsidP="00820720">
      <w:pPr>
        <w:spacing w:line="240" w:lineRule="auto"/>
        <w:rPr>
          <w:rFonts w:eastAsia="Times New Roman"/>
          <w:szCs w:val="24"/>
          <w:lang w:eastAsia="es-CO"/>
        </w:rPr>
      </w:pPr>
      <w:r w:rsidRPr="00225B40">
        <w:rPr>
          <w:rFonts w:eastAsia="Times New Roman"/>
          <w:szCs w:val="24"/>
          <w:lang w:eastAsia="es-CO"/>
        </w:rPr>
        <w:t>Carrera 7 No. 32 -12/16 Piso 34</w:t>
      </w:r>
    </w:p>
    <w:p w:rsidR="00820720" w:rsidRPr="00225B40" w:rsidRDefault="00820720" w:rsidP="00820720">
      <w:pPr>
        <w:spacing w:line="240" w:lineRule="auto"/>
        <w:rPr>
          <w:rFonts w:eastAsia="Times New Roman"/>
          <w:szCs w:val="24"/>
          <w:lang w:eastAsia="es-CO"/>
        </w:rPr>
      </w:pPr>
      <w:r w:rsidRPr="00225B40">
        <w:rPr>
          <w:rFonts w:eastAsia="Times New Roman"/>
          <w:szCs w:val="24"/>
          <w:lang w:eastAsia="es-CO"/>
        </w:rPr>
        <w:t>Bogotá, D.C.</w:t>
      </w:r>
    </w:p>
    <w:p w:rsidR="00820720" w:rsidRPr="00225B40" w:rsidRDefault="00820720" w:rsidP="00820720">
      <w:pPr>
        <w:spacing w:line="240" w:lineRule="auto"/>
        <w:rPr>
          <w:rFonts w:eastAsia="Times New Roman"/>
          <w:szCs w:val="24"/>
          <w:lang w:eastAsia="es-CO"/>
        </w:rPr>
      </w:pPr>
      <w:r w:rsidRPr="00225B40">
        <w:rPr>
          <w:rFonts w:eastAsia="Times New Roman"/>
          <w:szCs w:val="24"/>
          <w:lang w:eastAsia="es-CO"/>
        </w:rPr>
        <w:t> </w:t>
      </w:r>
    </w:p>
    <w:p w:rsidR="00820720" w:rsidRPr="00225B40" w:rsidRDefault="00820720" w:rsidP="00820720">
      <w:pPr>
        <w:spacing w:line="240" w:lineRule="auto"/>
        <w:rPr>
          <w:rFonts w:eastAsia="Times New Roman"/>
          <w:szCs w:val="24"/>
          <w:lang w:eastAsia="es-CO"/>
        </w:rPr>
      </w:pPr>
      <w:r w:rsidRPr="00225B40">
        <w:rPr>
          <w:rFonts w:eastAsia="Times New Roman"/>
          <w:b/>
          <w:szCs w:val="24"/>
          <w:lang w:eastAsia="es-CO"/>
        </w:rPr>
        <w:t xml:space="preserve">Ref: </w:t>
      </w:r>
      <w:r w:rsidRPr="00225B40">
        <w:rPr>
          <w:rFonts w:eastAsia="Times New Roman"/>
          <w:szCs w:val="24"/>
          <w:lang w:eastAsia="es-CO"/>
        </w:rPr>
        <w:t>Radicado 7474 del 06/12/2013</w:t>
      </w:r>
    </w:p>
    <w:p w:rsidR="00820720" w:rsidRPr="00225B40" w:rsidRDefault="00820720" w:rsidP="00820720">
      <w:pPr>
        <w:spacing w:line="240" w:lineRule="auto"/>
        <w:rPr>
          <w:rFonts w:eastAsia="Times New Roman"/>
          <w:szCs w:val="24"/>
          <w:lang w:eastAsia="es-CO"/>
        </w:rPr>
      </w:pPr>
      <w:r w:rsidRPr="00225B40">
        <w:rPr>
          <w:rFonts w:eastAsia="Times New Roman"/>
          <w:szCs w:val="24"/>
          <w:lang w:eastAsia="es-CO"/>
        </w:rPr>
        <w:t> </w:t>
      </w:r>
    </w:p>
    <w:p w:rsidR="00820720" w:rsidRPr="00225B40" w:rsidRDefault="00820720" w:rsidP="00820720">
      <w:pPr>
        <w:spacing w:line="240" w:lineRule="auto"/>
        <w:rPr>
          <w:rFonts w:eastAsia="Times New Roman"/>
          <w:szCs w:val="24"/>
          <w:lang w:eastAsia="es-CO"/>
        </w:rPr>
      </w:pPr>
      <w:r w:rsidRPr="00225B40">
        <w:rPr>
          <w:rFonts w:eastAsia="Times New Roman"/>
          <w:b/>
          <w:szCs w:val="24"/>
          <w:lang w:eastAsia="es-CO"/>
        </w:rPr>
        <w:t xml:space="preserve">Tema </w:t>
      </w:r>
      <w:r w:rsidRPr="00225B40">
        <w:rPr>
          <w:rFonts w:eastAsia="Times New Roman"/>
          <w:szCs w:val="24"/>
          <w:lang w:eastAsia="es-CO"/>
        </w:rPr>
        <w:t>Procedimiento Tributario</w:t>
      </w:r>
    </w:p>
    <w:p w:rsidR="00820720" w:rsidRPr="00225B40" w:rsidRDefault="00820720" w:rsidP="00820720">
      <w:pPr>
        <w:spacing w:line="240" w:lineRule="auto"/>
        <w:rPr>
          <w:rFonts w:eastAsia="Times New Roman"/>
          <w:szCs w:val="24"/>
          <w:lang w:eastAsia="es-CO"/>
        </w:rPr>
      </w:pPr>
      <w:r w:rsidRPr="00225B40">
        <w:rPr>
          <w:rFonts w:eastAsia="Times New Roman"/>
          <w:b/>
          <w:szCs w:val="24"/>
          <w:lang w:eastAsia="es-CO"/>
        </w:rPr>
        <w:t xml:space="preserve">Descriptores </w:t>
      </w:r>
      <w:r w:rsidRPr="00225B40">
        <w:rPr>
          <w:rFonts w:eastAsia="Times New Roman"/>
          <w:szCs w:val="24"/>
          <w:lang w:eastAsia="es-CO"/>
        </w:rPr>
        <w:t>Agentes de retención – obligaciones; Información exógena; Retención en la fuente por entidades ejecutoras del Presupuesto General de la Nación; Sistema General de Regalías</w:t>
      </w:r>
    </w:p>
    <w:p w:rsidR="00820720" w:rsidRPr="00225B40" w:rsidRDefault="00820720" w:rsidP="00820720">
      <w:pPr>
        <w:spacing w:line="240" w:lineRule="auto"/>
        <w:rPr>
          <w:rFonts w:eastAsia="Times New Roman"/>
          <w:szCs w:val="24"/>
          <w:lang w:eastAsia="es-CO"/>
        </w:rPr>
      </w:pPr>
      <w:r w:rsidRPr="00225B40">
        <w:rPr>
          <w:rFonts w:eastAsia="Times New Roman"/>
          <w:b/>
          <w:szCs w:val="24"/>
          <w:lang w:eastAsia="es-CO"/>
        </w:rPr>
        <w:t xml:space="preserve">Fuentes Formales </w:t>
      </w:r>
      <w:r w:rsidRPr="00225B40">
        <w:rPr>
          <w:rFonts w:eastAsia="Times New Roman"/>
          <w:szCs w:val="24"/>
          <w:lang w:eastAsia="es-CO"/>
        </w:rPr>
        <w:t xml:space="preserve">Estatuto Tributario, arts. </w:t>
      </w:r>
      <w:hyperlink r:id="rId5" w:tooltip="Estatuto Tributario CETA" w:history="1">
        <w:r w:rsidRPr="00225B40">
          <w:rPr>
            <w:rFonts w:eastAsia="Times New Roman"/>
            <w:szCs w:val="24"/>
            <w:u w:val="single"/>
            <w:lang w:eastAsia="es-CO"/>
          </w:rPr>
          <w:t>368</w:t>
        </w:r>
      </w:hyperlink>
      <w:r w:rsidRPr="00225B40">
        <w:rPr>
          <w:rFonts w:eastAsia="Times New Roman"/>
          <w:szCs w:val="24"/>
          <w:lang w:eastAsia="es-CO"/>
        </w:rPr>
        <w:t xml:space="preserve"> y </w:t>
      </w:r>
      <w:hyperlink r:id="rId6" w:tooltip="Estatuto Tributario CETA" w:history="1">
        <w:r w:rsidRPr="00225B40">
          <w:rPr>
            <w:rFonts w:eastAsia="Times New Roman"/>
            <w:szCs w:val="24"/>
            <w:u w:val="single"/>
            <w:lang w:eastAsia="es-CO"/>
          </w:rPr>
          <w:t>373</w:t>
        </w:r>
      </w:hyperlink>
      <w:r w:rsidRPr="00225B40">
        <w:rPr>
          <w:rFonts w:eastAsia="Times New Roman"/>
          <w:szCs w:val="24"/>
          <w:lang w:eastAsia="es-CO"/>
        </w:rPr>
        <w:t>; Ley 633 de 2000, art. 76; Ley 1530 de 2012, arts. 3°, 8, 76 y 78; Decreto 1949 de 2012, arts. 1°, 41, 42 y 45; Decreto 2674 de 2012, arts. 2° y 3°; Decreto 406 de 2001, art. 15; Resolución No. 000273 de 2013, art. 19</w:t>
      </w:r>
    </w:p>
    <w:p w:rsidR="00820720" w:rsidRPr="00225B40" w:rsidRDefault="00820720" w:rsidP="00820720">
      <w:pPr>
        <w:spacing w:line="240" w:lineRule="auto"/>
        <w:rPr>
          <w:rFonts w:eastAsia="Times New Roman"/>
          <w:szCs w:val="24"/>
          <w:lang w:eastAsia="es-CO"/>
        </w:rPr>
      </w:pPr>
      <w:r w:rsidRPr="00225B40">
        <w:rPr>
          <w:rFonts w:eastAsia="Times New Roman"/>
          <w:szCs w:val="24"/>
          <w:lang w:eastAsia="es-CO"/>
        </w:rPr>
        <w:t> </w:t>
      </w:r>
    </w:p>
    <w:p w:rsidR="00820720" w:rsidRPr="00225B40" w:rsidRDefault="00820720" w:rsidP="00820720">
      <w:pPr>
        <w:spacing w:line="240" w:lineRule="auto"/>
        <w:rPr>
          <w:rFonts w:eastAsia="Times New Roman"/>
          <w:szCs w:val="24"/>
          <w:lang w:eastAsia="es-CO"/>
        </w:rPr>
      </w:pPr>
      <w:r w:rsidRPr="00225B40">
        <w:rPr>
          <w:rFonts w:eastAsia="Times New Roman"/>
          <w:szCs w:val="24"/>
          <w:lang w:eastAsia="es-CO"/>
        </w:rPr>
        <w:t> </w:t>
      </w:r>
    </w:p>
    <w:p w:rsidR="00820720" w:rsidRPr="00225B40" w:rsidRDefault="00820720" w:rsidP="00820720">
      <w:pPr>
        <w:spacing w:line="240" w:lineRule="auto"/>
        <w:rPr>
          <w:rFonts w:eastAsia="Times New Roman"/>
          <w:szCs w:val="24"/>
          <w:lang w:eastAsia="es-CO"/>
        </w:rPr>
      </w:pPr>
      <w:r w:rsidRPr="00225B40">
        <w:rPr>
          <w:rFonts w:eastAsia="Times New Roman"/>
          <w:szCs w:val="24"/>
          <w:lang w:eastAsia="es-CO"/>
        </w:rPr>
        <w:t>Cordial saludo, Dr. Bohórquez:</w:t>
      </w:r>
    </w:p>
    <w:p w:rsidR="00820720" w:rsidRPr="00225B40" w:rsidRDefault="00820720" w:rsidP="00820720">
      <w:pPr>
        <w:spacing w:line="240" w:lineRule="auto"/>
        <w:rPr>
          <w:rFonts w:eastAsia="Times New Roman"/>
          <w:szCs w:val="24"/>
          <w:lang w:eastAsia="es-CO"/>
        </w:rPr>
      </w:pPr>
      <w:r w:rsidRPr="00225B40">
        <w:rPr>
          <w:rFonts w:eastAsia="Times New Roman"/>
          <w:szCs w:val="24"/>
          <w:lang w:eastAsia="es-CO"/>
        </w:rPr>
        <w:t> </w:t>
      </w:r>
    </w:p>
    <w:p w:rsidR="00820720" w:rsidRPr="00225B40" w:rsidRDefault="00820720" w:rsidP="00820720">
      <w:pPr>
        <w:spacing w:line="240" w:lineRule="auto"/>
        <w:rPr>
          <w:rFonts w:eastAsia="Times New Roman"/>
          <w:szCs w:val="24"/>
          <w:lang w:eastAsia="es-CO"/>
        </w:rPr>
      </w:pPr>
      <w:r w:rsidRPr="00225B40">
        <w:rPr>
          <w:rFonts w:eastAsia="Times New Roman"/>
          <w:szCs w:val="24"/>
          <w:lang w:eastAsia="es-CO"/>
        </w:rPr>
        <w:t>De conformidad con el artículo 20 del Decreto 4048 de 2008 y la Orden Administrativa 000006 de 2009,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820720" w:rsidRPr="00225B40" w:rsidRDefault="00820720" w:rsidP="00820720">
      <w:pPr>
        <w:spacing w:line="240" w:lineRule="auto"/>
        <w:rPr>
          <w:rFonts w:eastAsia="Times New Roman"/>
          <w:szCs w:val="24"/>
          <w:lang w:eastAsia="es-CO"/>
        </w:rPr>
      </w:pPr>
      <w:r w:rsidRPr="00225B40">
        <w:rPr>
          <w:rFonts w:eastAsia="Times New Roman"/>
          <w:szCs w:val="24"/>
          <w:lang w:eastAsia="es-CO"/>
        </w:rPr>
        <w:t> </w:t>
      </w:r>
    </w:p>
    <w:p w:rsidR="006A13BC" w:rsidRPr="00225B40" w:rsidRDefault="006A13BC" w:rsidP="00820720">
      <w:pPr>
        <w:spacing w:line="240" w:lineRule="auto"/>
        <w:rPr>
          <w:rFonts w:eastAsia="Times New Roman"/>
          <w:b/>
          <w:szCs w:val="24"/>
          <w:lang w:eastAsia="es-CO"/>
        </w:rPr>
      </w:pPr>
      <w:r w:rsidRPr="00225B40">
        <w:rPr>
          <w:rFonts w:eastAsia="Times New Roman"/>
          <w:b/>
          <w:szCs w:val="24"/>
          <w:lang w:eastAsia="es-CO"/>
        </w:rPr>
        <w:t>(……..)</w:t>
      </w:r>
    </w:p>
    <w:p w:rsidR="006A13BC" w:rsidRPr="00225B40" w:rsidRDefault="006A13BC" w:rsidP="00820720">
      <w:pPr>
        <w:spacing w:line="240" w:lineRule="auto"/>
        <w:rPr>
          <w:rFonts w:eastAsia="Times New Roman"/>
          <w:b/>
          <w:szCs w:val="24"/>
          <w:lang w:eastAsia="es-CO"/>
        </w:rPr>
      </w:pPr>
    </w:p>
    <w:p w:rsidR="00820720" w:rsidRPr="00225B40" w:rsidRDefault="00820720" w:rsidP="00820720">
      <w:pPr>
        <w:spacing w:line="240" w:lineRule="auto"/>
        <w:rPr>
          <w:rFonts w:eastAsia="Times New Roman"/>
          <w:szCs w:val="24"/>
          <w:lang w:eastAsia="es-CO"/>
        </w:rPr>
      </w:pPr>
      <w:r w:rsidRPr="00225B40">
        <w:rPr>
          <w:rFonts w:eastAsia="Times New Roman"/>
          <w:b/>
          <w:szCs w:val="24"/>
          <w:lang w:eastAsia="es-CO"/>
        </w:rPr>
        <w:t>Pregunta No. 2.</w:t>
      </w:r>
    </w:p>
    <w:p w:rsidR="00820720" w:rsidRPr="00225B40" w:rsidRDefault="00820720" w:rsidP="00820720">
      <w:pPr>
        <w:spacing w:line="240" w:lineRule="auto"/>
        <w:rPr>
          <w:rFonts w:eastAsia="Times New Roman"/>
          <w:szCs w:val="24"/>
          <w:lang w:eastAsia="es-CO"/>
        </w:rPr>
      </w:pPr>
      <w:r w:rsidRPr="00225B40">
        <w:rPr>
          <w:rFonts w:eastAsia="Times New Roman"/>
          <w:szCs w:val="24"/>
          <w:lang w:eastAsia="es-CO"/>
        </w:rPr>
        <w:t> </w:t>
      </w:r>
    </w:p>
    <w:p w:rsidR="00820720" w:rsidRPr="00225B40" w:rsidRDefault="00820720" w:rsidP="00820720">
      <w:pPr>
        <w:spacing w:line="240" w:lineRule="auto"/>
        <w:rPr>
          <w:rFonts w:eastAsia="Times New Roman"/>
          <w:szCs w:val="24"/>
          <w:lang w:eastAsia="es-CO"/>
        </w:rPr>
      </w:pPr>
      <w:r w:rsidRPr="00225B40">
        <w:rPr>
          <w:rFonts w:eastAsia="Times New Roman"/>
          <w:szCs w:val="24"/>
          <w:lang w:eastAsia="es-CO"/>
        </w:rPr>
        <w:t>Consulta con fundamento en la Ley 633 de 2000, art. 76, en el Decreto Reglamentario 406 de 2001, art. 15 y en el Decreto 2674 de 2012, cuál es la base (causación o caja) para la expedición de los certificados de retención en la fuente y de la información exógena, para las entidades que conforman el ámbito del Sistema Integrado de Información Financiera SIIF Nación?</w:t>
      </w:r>
    </w:p>
    <w:p w:rsidR="00820720" w:rsidRPr="00225B40" w:rsidRDefault="00820720" w:rsidP="00820720">
      <w:pPr>
        <w:spacing w:line="240" w:lineRule="auto"/>
        <w:rPr>
          <w:rFonts w:eastAsia="Times New Roman"/>
          <w:szCs w:val="24"/>
          <w:lang w:eastAsia="es-CO"/>
        </w:rPr>
      </w:pPr>
      <w:r w:rsidRPr="00225B40">
        <w:rPr>
          <w:rFonts w:eastAsia="Times New Roman"/>
          <w:szCs w:val="24"/>
          <w:lang w:eastAsia="es-CO"/>
        </w:rPr>
        <w:t> </w:t>
      </w:r>
    </w:p>
    <w:p w:rsidR="00820720" w:rsidRPr="00225B40" w:rsidRDefault="00820720" w:rsidP="00820720">
      <w:pPr>
        <w:spacing w:line="240" w:lineRule="auto"/>
        <w:rPr>
          <w:rFonts w:eastAsia="Times New Roman"/>
          <w:szCs w:val="24"/>
          <w:lang w:eastAsia="es-CO"/>
        </w:rPr>
      </w:pPr>
      <w:r w:rsidRPr="00225B40">
        <w:rPr>
          <w:rFonts w:eastAsia="Times New Roman"/>
          <w:szCs w:val="24"/>
          <w:lang w:eastAsia="es-CO"/>
        </w:rPr>
        <w:t xml:space="preserve">Al respecto manifiesta que la Contaduría General de la Nación, ha conceptuado sobre el reconocimiento de las deducciones por retención en la fuente en el SIIF Nación, en el siguiente sentido: </w:t>
      </w:r>
      <w:r w:rsidRPr="00225B40">
        <w:rPr>
          <w:rFonts w:eastAsia="Times New Roman"/>
          <w:i/>
          <w:szCs w:val="24"/>
          <w:lang w:eastAsia="es-CO"/>
        </w:rPr>
        <w:t>“Soportado en el principio de causación, en la norma técnica para el reconocimiento de pasivos y en el descripción de la cuenta 2436 – RETENCIONES EN LA FUENTE E IMPUESTO DE TIMBRE, el reconocimiento de la retención en la fuente, tanto de impuestos nacionales como distritales, debe hacerse en el momento en que se suceden los hechos económicos, con el fin de garantizar la confiabilidad de la información contable.”</w:t>
      </w:r>
    </w:p>
    <w:p w:rsidR="00820720" w:rsidRPr="00225B40" w:rsidRDefault="00820720" w:rsidP="00820720">
      <w:pPr>
        <w:spacing w:line="240" w:lineRule="auto"/>
        <w:rPr>
          <w:rFonts w:eastAsia="Times New Roman"/>
          <w:szCs w:val="24"/>
          <w:lang w:eastAsia="es-CO"/>
        </w:rPr>
      </w:pPr>
      <w:r w:rsidRPr="00225B40">
        <w:rPr>
          <w:rFonts w:eastAsia="Times New Roman"/>
          <w:szCs w:val="24"/>
          <w:lang w:eastAsia="es-CO"/>
        </w:rPr>
        <w:t> </w:t>
      </w:r>
    </w:p>
    <w:p w:rsidR="00820720" w:rsidRPr="00225B40" w:rsidRDefault="00820720" w:rsidP="00820720">
      <w:pPr>
        <w:spacing w:line="240" w:lineRule="auto"/>
        <w:rPr>
          <w:rFonts w:eastAsia="Times New Roman"/>
          <w:szCs w:val="24"/>
          <w:lang w:eastAsia="es-CO"/>
        </w:rPr>
      </w:pPr>
      <w:r w:rsidRPr="00225B40">
        <w:rPr>
          <w:rFonts w:eastAsia="Times New Roman"/>
          <w:szCs w:val="24"/>
          <w:lang w:eastAsia="es-CO"/>
        </w:rPr>
        <w:t>Ahora bien, el Decreto 2674 de 2012, por el cual se reglamenta el Sistema Integrado de Información Financiera (SIIF) Nación, establece en sus artículos 2 y 3:</w:t>
      </w:r>
    </w:p>
    <w:p w:rsidR="00820720" w:rsidRPr="00225B40" w:rsidRDefault="00820720" w:rsidP="00820720">
      <w:pPr>
        <w:spacing w:line="240" w:lineRule="auto"/>
        <w:ind w:left="284"/>
        <w:rPr>
          <w:rFonts w:eastAsia="Times New Roman"/>
          <w:szCs w:val="24"/>
          <w:lang w:eastAsia="es-CO"/>
        </w:rPr>
      </w:pPr>
      <w:r w:rsidRPr="00225B40">
        <w:rPr>
          <w:rFonts w:eastAsia="Times New Roman"/>
          <w:szCs w:val="24"/>
          <w:lang w:eastAsia="es-CO"/>
        </w:rPr>
        <w:t> </w:t>
      </w:r>
    </w:p>
    <w:p w:rsidR="00820720" w:rsidRPr="00225B40" w:rsidRDefault="00820720" w:rsidP="00820720">
      <w:pPr>
        <w:spacing w:line="240" w:lineRule="auto"/>
        <w:ind w:left="284"/>
        <w:rPr>
          <w:rFonts w:eastAsia="Times New Roman"/>
          <w:szCs w:val="24"/>
          <w:lang w:eastAsia="es-CO"/>
        </w:rPr>
      </w:pPr>
      <w:r w:rsidRPr="00225B40">
        <w:rPr>
          <w:rFonts w:eastAsia="Times New Roman"/>
          <w:b/>
          <w:i/>
          <w:szCs w:val="24"/>
          <w:lang w:eastAsia="es-CO"/>
        </w:rPr>
        <w:lastRenderedPageBreak/>
        <w:t xml:space="preserve">“Artículo 2°. Definición. </w:t>
      </w:r>
      <w:r w:rsidRPr="00225B40">
        <w:rPr>
          <w:rFonts w:eastAsia="Times New Roman"/>
          <w:i/>
          <w:szCs w:val="24"/>
          <w:lang w:eastAsia="es-CO"/>
        </w:rPr>
        <w:t>El Sistema Integrado de Información Financiera SIIF Nación es un sistema que coordina, integra, centraliza y estandariza la gestión financiera pública nacional, con el fin de propiciar una mayor eficiencia y seguridad en el uso de los recursos del Presupuesto General de la Nación y de brindar información oportuna y confiable.</w:t>
      </w:r>
    </w:p>
    <w:p w:rsidR="00820720" w:rsidRPr="00225B40" w:rsidRDefault="00820720" w:rsidP="00820720">
      <w:pPr>
        <w:spacing w:line="240" w:lineRule="auto"/>
        <w:ind w:left="284"/>
        <w:rPr>
          <w:rFonts w:eastAsia="Times New Roman"/>
          <w:szCs w:val="24"/>
          <w:lang w:eastAsia="es-CO"/>
        </w:rPr>
      </w:pPr>
      <w:r w:rsidRPr="00225B40">
        <w:rPr>
          <w:rFonts w:eastAsia="Times New Roman"/>
          <w:szCs w:val="24"/>
          <w:lang w:eastAsia="es-CO"/>
        </w:rPr>
        <w:t> </w:t>
      </w:r>
    </w:p>
    <w:p w:rsidR="00820720" w:rsidRPr="00225B40" w:rsidRDefault="00820720" w:rsidP="00820720">
      <w:pPr>
        <w:spacing w:line="240" w:lineRule="auto"/>
        <w:ind w:left="284"/>
        <w:rPr>
          <w:rFonts w:eastAsia="Times New Roman"/>
          <w:szCs w:val="24"/>
          <w:lang w:eastAsia="es-CO"/>
        </w:rPr>
      </w:pPr>
      <w:r w:rsidRPr="00225B40">
        <w:rPr>
          <w:rFonts w:eastAsia="Times New Roman"/>
          <w:b/>
          <w:i/>
          <w:szCs w:val="24"/>
          <w:lang w:eastAsia="es-CO"/>
        </w:rPr>
        <w:t xml:space="preserve">Artículo 3°. Campo de aplicación. </w:t>
      </w:r>
      <w:r w:rsidRPr="00225B40">
        <w:rPr>
          <w:rFonts w:eastAsia="Times New Roman"/>
          <w:i/>
          <w:szCs w:val="24"/>
          <w:lang w:eastAsia="es-CO"/>
        </w:rPr>
        <w:t>El presente decreto aplica a todas las entidades y órganos que hacen parte del Presupuesto General de la Nación.</w:t>
      </w:r>
    </w:p>
    <w:p w:rsidR="00820720" w:rsidRPr="00225B40" w:rsidRDefault="00820720" w:rsidP="00820720">
      <w:pPr>
        <w:spacing w:line="240" w:lineRule="auto"/>
        <w:ind w:left="284"/>
        <w:rPr>
          <w:rFonts w:eastAsia="Times New Roman"/>
          <w:szCs w:val="24"/>
          <w:lang w:eastAsia="es-CO"/>
        </w:rPr>
      </w:pPr>
      <w:r w:rsidRPr="00225B40">
        <w:rPr>
          <w:rFonts w:eastAsia="Times New Roman"/>
          <w:szCs w:val="24"/>
          <w:lang w:eastAsia="es-CO"/>
        </w:rPr>
        <w:t> </w:t>
      </w:r>
    </w:p>
    <w:p w:rsidR="00820720" w:rsidRPr="00225B40" w:rsidRDefault="00820720" w:rsidP="00820720">
      <w:pPr>
        <w:spacing w:line="240" w:lineRule="auto"/>
        <w:ind w:left="284"/>
        <w:rPr>
          <w:rFonts w:eastAsia="Times New Roman"/>
          <w:szCs w:val="24"/>
          <w:lang w:eastAsia="es-CO"/>
        </w:rPr>
      </w:pPr>
      <w:r w:rsidRPr="00225B40">
        <w:rPr>
          <w:rFonts w:eastAsia="Times New Roman"/>
          <w:i/>
          <w:szCs w:val="24"/>
          <w:lang w:eastAsia="es-CO"/>
        </w:rPr>
        <w:t>Para las Corporaciones Autónomas Regionales y las Empresas Industriales y Comerciales del Estado y las Sociedades de Economía Mixta sujetas al régimen de aquellas, que reciban recursos de la Nación a través del Presupuesto General de la Nación, solo aplicará en lo relacionado con la gestión presupuestal del gasto para el giro de dichos recursos.”</w:t>
      </w:r>
    </w:p>
    <w:p w:rsidR="00820720" w:rsidRPr="00225B40" w:rsidRDefault="00820720" w:rsidP="00820720">
      <w:pPr>
        <w:spacing w:line="240" w:lineRule="auto"/>
        <w:rPr>
          <w:rFonts w:eastAsia="Times New Roman"/>
          <w:szCs w:val="24"/>
          <w:lang w:eastAsia="es-CO"/>
        </w:rPr>
      </w:pPr>
      <w:r w:rsidRPr="00225B40">
        <w:rPr>
          <w:rFonts w:eastAsia="Times New Roman"/>
          <w:szCs w:val="24"/>
          <w:lang w:eastAsia="es-CO"/>
        </w:rPr>
        <w:t> </w:t>
      </w:r>
    </w:p>
    <w:p w:rsidR="00820720" w:rsidRPr="00B011BB" w:rsidRDefault="00820720" w:rsidP="00820720">
      <w:pPr>
        <w:spacing w:line="240" w:lineRule="auto"/>
        <w:rPr>
          <w:rFonts w:eastAsia="Times New Roman"/>
          <w:szCs w:val="24"/>
          <w:highlight w:val="green"/>
          <w:lang w:eastAsia="es-CO"/>
        </w:rPr>
      </w:pPr>
      <w:r w:rsidRPr="00B011BB">
        <w:rPr>
          <w:rFonts w:eastAsia="Times New Roman"/>
          <w:szCs w:val="24"/>
          <w:highlight w:val="green"/>
          <w:lang w:eastAsia="es-CO"/>
        </w:rPr>
        <w:t>Al respecto, este Despacho hace las siguientes consideraciones:</w:t>
      </w:r>
    </w:p>
    <w:p w:rsidR="00820720" w:rsidRPr="00B011BB" w:rsidRDefault="00820720" w:rsidP="00820720">
      <w:pPr>
        <w:spacing w:line="240" w:lineRule="auto"/>
        <w:rPr>
          <w:rFonts w:eastAsia="Times New Roman"/>
          <w:szCs w:val="24"/>
          <w:highlight w:val="green"/>
          <w:lang w:eastAsia="es-CO"/>
        </w:rPr>
      </w:pPr>
      <w:r w:rsidRPr="00B011BB">
        <w:rPr>
          <w:rFonts w:eastAsia="Times New Roman"/>
          <w:szCs w:val="24"/>
          <w:highlight w:val="green"/>
          <w:lang w:eastAsia="es-CO"/>
        </w:rPr>
        <w:t> </w:t>
      </w:r>
    </w:p>
    <w:p w:rsidR="00820720" w:rsidRPr="00B011BB" w:rsidRDefault="00820720" w:rsidP="00820720">
      <w:pPr>
        <w:spacing w:line="240" w:lineRule="auto"/>
        <w:rPr>
          <w:rFonts w:eastAsia="Times New Roman"/>
          <w:szCs w:val="24"/>
          <w:highlight w:val="green"/>
          <w:lang w:eastAsia="es-CO"/>
        </w:rPr>
      </w:pPr>
      <w:r w:rsidRPr="00B011BB">
        <w:rPr>
          <w:rFonts w:eastAsia="Times New Roman"/>
          <w:szCs w:val="24"/>
          <w:highlight w:val="green"/>
          <w:lang w:eastAsia="es-CO"/>
        </w:rPr>
        <w:t>El artículo 76 de la Ley 633 de 2000, establece:</w:t>
      </w:r>
    </w:p>
    <w:p w:rsidR="00820720" w:rsidRPr="00B011BB" w:rsidRDefault="00820720" w:rsidP="00820720">
      <w:pPr>
        <w:spacing w:line="240" w:lineRule="auto"/>
        <w:ind w:left="284"/>
        <w:rPr>
          <w:rFonts w:eastAsia="Times New Roman"/>
          <w:szCs w:val="24"/>
          <w:highlight w:val="green"/>
          <w:lang w:eastAsia="es-CO"/>
        </w:rPr>
      </w:pPr>
      <w:r w:rsidRPr="00B011BB">
        <w:rPr>
          <w:rFonts w:eastAsia="Times New Roman"/>
          <w:szCs w:val="24"/>
          <w:highlight w:val="green"/>
          <w:lang w:eastAsia="es-CO"/>
        </w:rPr>
        <w:t> </w:t>
      </w:r>
    </w:p>
    <w:p w:rsidR="00820720" w:rsidRPr="00B011BB" w:rsidRDefault="00820720" w:rsidP="00820720">
      <w:pPr>
        <w:spacing w:line="240" w:lineRule="auto"/>
        <w:ind w:left="284"/>
        <w:rPr>
          <w:rFonts w:eastAsia="Times New Roman"/>
          <w:szCs w:val="24"/>
          <w:highlight w:val="green"/>
          <w:lang w:eastAsia="es-CO"/>
        </w:rPr>
      </w:pPr>
      <w:r w:rsidRPr="00B011BB">
        <w:rPr>
          <w:rFonts w:eastAsia="Times New Roman"/>
          <w:b/>
          <w:i/>
          <w:szCs w:val="24"/>
          <w:highlight w:val="green"/>
          <w:lang w:eastAsia="es-CO"/>
        </w:rPr>
        <w:t xml:space="preserve">“ARTÍCULO 76. Sistema para pago de retenciones de entidades ejecutoras del Presupuesto General de la Nación. </w:t>
      </w:r>
      <w:r w:rsidRPr="00B011BB">
        <w:rPr>
          <w:rFonts w:eastAsia="Times New Roman"/>
          <w:i/>
          <w:szCs w:val="24"/>
          <w:highlight w:val="green"/>
          <w:lang w:eastAsia="es-CO"/>
        </w:rPr>
        <w:t>Las entidades ejecutoras del presupuesto General de la Nación operarán bajo el sistema de caja para efectos del pago de las retenciones en la fuente de impuestos nacionales.”</w:t>
      </w:r>
    </w:p>
    <w:p w:rsidR="00820720" w:rsidRPr="00B011BB" w:rsidRDefault="00820720" w:rsidP="00820720">
      <w:pPr>
        <w:spacing w:line="240" w:lineRule="auto"/>
        <w:rPr>
          <w:rFonts w:eastAsia="Times New Roman"/>
          <w:szCs w:val="24"/>
          <w:highlight w:val="green"/>
          <w:lang w:eastAsia="es-CO"/>
        </w:rPr>
      </w:pPr>
      <w:r w:rsidRPr="00B011BB">
        <w:rPr>
          <w:rFonts w:eastAsia="Times New Roman"/>
          <w:szCs w:val="24"/>
          <w:highlight w:val="green"/>
          <w:lang w:eastAsia="es-CO"/>
        </w:rPr>
        <w:t> </w:t>
      </w:r>
    </w:p>
    <w:p w:rsidR="00820720" w:rsidRPr="00B011BB" w:rsidRDefault="00820720" w:rsidP="00820720">
      <w:pPr>
        <w:spacing w:line="240" w:lineRule="auto"/>
        <w:rPr>
          <w:rFonts w:eastAsia="Times New Roman"/>
          <w:szCs w:val="24"/>
          <w:highlight w:val="green"/>
          <w:lang w:eastAsia="es-CO"/>
        </w:rPr>
      </w:pPr>
      <w:r w:rsidRPr="00B011BB">
        <w:rPr>
          <w:rFonts w:eastAsia="Times New Roman"/>
          <w:szCs w:val="24"/>
          <w:highlight w:val="green"/>
          <w:lang w:eastAsia="es-CO"/>
        </w:rPr>
        <w:t>A su turno el artículo 15 del Decreto Reglamentario 406 de 2001, señala:</w:t>
      </w:r>
    </w:p>
    <w:p w:rsidR="00820720" w:rsidRPr="00B011BB" w:rsidRDefault="00820720" w:rsidP="00820720">
      <w:pPr>
        <w:spacing w:line="240" w:lineRule="auto"/>
        <w:ind w:left="284"/>
        <w:rPr>
          <w:rFonts w:eastAsia="Times New Roman"/>
          <w:szCs w:val="24"/>
          <w:highlight w:val="green"/>
          <w:lang w:eastAsia="es-CO"/>
        </w:rPr>
      </w:pPr>
      <w:r w:rsidRPr="00B011BB">
        <w:rPr>
          <w:rFonts w:eastAsia="Times New Roman"/>
          <w:szCs w:val="24"/>
          <w:highlight w:val="green"/>
          <w:lang w:eastAsia="es-CO"/>
        </w:rPr>
        <w:t> </w:t>
      </w:r>
    </w:p>
    <w:p w:rsidR="00820720" w:rsidRPr="00225B40" w:rsidRDefault="00820720" w:rsidP="00820720">
      <w:pPr>
        <w:spacing w:line="240" w:lineRule="auto"/>
        <w:ind w:left="284"/>
        <w:rPr>
          <w:rFonts w:eastAsia="Times New Roman"/>
          <w:szCs w:val="24"/>
          <w:lang w:eastAsia="es-CO"/>
        </w:rPr>
      </w:pPr>
      <w:r w:rsidRPr="00B011BB">
        <w:rPr>
          <w:rFonts w:eastAsia="Times New Roman"/>
          <w:b/>
          <w:i/>
          <w:szCs w:val="24"/>
          <w:highlight w:val="green"/>
          <w:lang w:eastAsia="es-CO"/>
        </w:rPr>
        <w:t xml:space="preserve">“ARTÍCULO 15. Declaración y pago de retenciones en la fuente de entidades públicas. </w:t>
      </w:r>
      <w:r w:rsidRPr="00B011BB">
        <w:rPr>
          <w:rFonts w:eastAsia="Times New Roman"/>
          <w:i/>
          <w:szCs w:val="24"/>
          <w:highlight w:val="green"/>
          <w:lang w:eastAsia="es-CO"/>
        </w:rPr>
        <w:t>De conformidad con el artículo 76 de la Ley 633 de 2000, las entidades ejecutoras del Presupuesto General de la Nación, deberán causar y practicar retención en la fuente cuando se efectúe el pago sujeto a retención.”</w:t>
      </w:r>
    </w:p>
    <w:p w:rsidR="00820720" w:rsidRPr="00225B40" w:rsidRDefault="00820720" w:rsidP="00820720">
      <w:pPr>
        <w:spacing w:line="240" w:lineRule="auto"/>
        <w:rPr>
          <w:rFonts w:eastAsia="Times New Roman"/>
          <w:szCs w:val="24"/>
          <w:lang w:eastAsia="es-CO"/>
        </w:rPr>
      </w:pPr>
      <w:r w:rsidRPr="00225B40">
        <w:rPr>
          <w:rFonts w:eastAsia="Times New Roman"/>
          <w:szCs w:val="24"/>
          <w:lang w:eastAsia="es-CO"/>
        </w:rPr>
        <w:t> </w:t>
      </w:r>
    </w:p>
    <w:p w:rsidR="00820720" w:rsidRPr="00225B40" w:rsidRDefault="00820720" w:rsidP="00820720">
      <w:pPr>
        <w:spacing w:line="240" w:lineRule="auto"/>
        <w:rPr>
          <w:rFonts w:eastAsia="Times New Roman"/>
          <w:szCs w:val="24"/>
          <w:lang w:eastAsia="es-CO"/>
        </w:rPr>
      </w:pPr>
      <w:r w:rsidRPr="00225B40">
        <w:rPr>
          <w:rFonts w:eastAsia="Times New Roman"/>
          <w:szCs w:val="24"/>
          <w:lang w:eastAsia="es-CO"/>
        </w:rPr>
        <w:t xml:space="preserve">Por su parte, el </w:t>
      </w:r>
      <w:hyperlink r:id="rId7" w:tooltip="Estatuto Tributario CETA" w:history="1">
        <w:r w:rsidRPr="00225B40">
          <w:rPr>
            <w:rFonts w:eastAsia="Times New Roman"/>
            <w:szCs w:val="24"/>
            <w:u w:val="single"/>
            <w:lang w:eastAsia="es-CO"/>
          </w:rPr>
          <w:t>artículo 373</w:t>
        </w:r>
      </w:hyperlink>
      <w:r w:rsidRPr="00225B40">
        <w:rPr>
          <w:rFonts w:eastAsia="Times New Roman"/>
          <w:szCs w:val="24"/>
          <w:lang w:eastAsia="es-CO"/>
        </w:rPr>
        <w:t xml:space="preserve"> del Estatuto Tributario, dispone:</w:t>
      </w:r>
    </w:p>
    <w:p w:rsidR="00820720" w:rsidRPr="00225B40" w:rsidRDefault="00820720" w:rsidP="00820720">
      <w:pPr>
        <w:spacing w:line="240" w:lineRule="auto"/>
        <w:ind w:left="284"/>
        <w:rPr>
          <w:rFonts w:eastAsia="Times New Roman"/>
          <w:szCs w:val="24"/>
          <w:lang w:eastAsia="es-CO"/>
        </w:rPr>
      </w:pPr>
      <w:r w:rsidRPr="00225B40">
        <w:rPr>
          <w:rFonts w:eastAsia="Times New Roman"/>
          <w:szCs w:val="24"/>
          <w:lang w:eastAsia="es-CO"/>
        </w:rPr>
        <w:t> </w:t>
      </w:r>
    </w:p>
    <w:p w:rsidR="00820720" w:rsidRPr="00225B40" w:rsidRDefault="00820720" w:rsidP="00820720">
      <w:pPr>
        <w:spacing w:line="240" w:lineRule="auto"/>
        <w:ind w:left="284"/>
        <w:rPr>
          <w:rFonts w:eastAsia="Times New Roman"/>
          <w:szCs w:val="24"/>
          <w:lang w:eastAsia="es-CO"/>
        </w:rPr>
      </w:pPr>
      <w:r w:rsidRPr="00225B40">
        <w:rPr>
          <w:rFonts w:eastAsia="Times New Roman"/>
          <w:b/>
          <w:i/>
          <w:szCs w:val="24"/>
          <w:lang w:eastAsia="es-CO"/>
        </w:rPr>
        <w:t>“</w:t>
      </w:r>
      <w:hyperlink r:id="rId8" w:tooltip="Estatuto Tributario CETA" w:history="1">
        <w:r w:rsidRPr="00225B40">
          <w:rPr>
            <w:rFonts w:eastAsia="Times New Roman"/>
            <w:b/>
            <w:i/>
            <w:szCs w:val="24"/>
            <w:u w:val="single"/>
            <w:lang w:eastAsia="es-CO"/>
          </w:rPr>
          <w:t>ARTÍCULO 373</w:t>
        </w:r>
      </w:hyperlink>
      <w:r w:rsidRPr="00225B40">
        <w:rPr>
          <w:rFonts w:eastAsia="Times New Roman"/>
          <w:b/>
          <w:i/>
          <w:szCs w:val="24"/>
          <w:lang w:eastAsia="es-CO"/>
        </w:rPr>
        <w:t xml:space="preserve">. Los valores retenidos se imputan en la liquidación privada. </w:t>
      </w:r>
      <w:r w:rsidRPr="00225B40">
        <w:rPr>
          <w:rFonts w:eastAsia="Times New Roman"/>
          <w:i/>
          <w:szCs w:val="24"/>
          <w:lang w:eastAsia="es-CO"/>
        </w:rPr>
        <w:t>En las respectivas liquidaciones privadas los contribuyentes deducirán del total del impuesto sobre la renta y complementarios el valor del impuesto que les haya sido retenido. La diferencia que resulte será pagada en la proporción y dentro de los términos ordinarios señalados para el pago de la liquidación privada.”</w:t>
      </w:r>
    </w:p>
    <w:p w:rsidR="00820720" w:rsidRPr="00225B40" w:rsidRDefault="00820720" w:rsidP="00820720">
      <w:pPr>
        <w:spacing w:line="240" w:lineRule="auto"/>
        <w:rPr>
          <w:rFonts w:eastAsia="Times New Roman"/>
          <w:szCs w:val="24"/>
          <w:lang w:eastAsia="es-CO"/>
        </w:rPr>
      </w:pPr>
      <w:r w:rsidRPr="00225B40">
        <w:rPr>
          <w:rFonts w:eastAsia="Times New Roman"/>
          <w:szCs w:val="24"/>
          <w:lang w:eastAsia="es-CO"/>
        </w:rPr>
        <w:t> </w:t>
      </w:r>
    </w:p>
    <w:p w:rsidR="00820720" w:rsidRPr="00225B40" w:rsidRDefault="00820720" w:rsidP="00820720">
      <w:pPr>
        <w:spacing w:line="240" w:lineRule="auto"/>
        <w:rPr>
          <w:rFonts w:eastAsia="Times New Roman"/>
          <w:szCs w:val="24"/>
          <w:lang w:eastAsia="es-CO"/>
        </w:rPr>
      </w:pPr>
      <w:r w:rsidRPr="00225B40">
        <w:rPr>
          <w:rFonts w:eastAsia="Times New Roman"/>
          <w:szCs w:val="24"/>
          <w:lang w:eastAsia="es-CO"/>
        </w:rPr>
        <w:t>Con fundamento en las disposiciones anteriores, este Despacho manifestó en el Oficio No. 033980 del 7 de junio de 2005:</w:t>
      </w:r>
    </w:p>
    <w:p w:rsidR="00820720" w:rsidRPr="00225B40" w:rsidRDefault="00820720" w:rsidP="00820720">
      <w:pPr>
        <w:spacing w:line="240" w:lineRule="auto"/>
        <w:ind w:left="284"/>
        <w:rPr>
          <w:rFonts w:eastAsia="Times New Roman"/>
          <w:szCs w:val="24"/>
          <w:lang w:eastAsia="es-CO"/>
        </w:rPr>
      </w:pPr>
      <w:r w:rsidRPr="00225B40">
        <w:rPr>
          <w:rFonts w:eastAsia="Times New Roman"/>
          <w:szCs w:val="24"/>
          <w:lang w:eastAsia="es-CO"/>
        </w:rPr>
        <w:t> </w:t>
      </w:r>
    </w:p>
    <w:p w:rsidR="00820720" w:rsidRPr="00225B40" w:rsidRDefault="00820720" w:rsidP="00820720">
      <w:pPr>
        <w:spacing w:line="240" w:lineRule="auto"/>
        <w:ind w:left="284"/>
        <w:rPr>
          <w:rFonts w:eastAsia="Times New Roman"/>
          <w:szCs w:val="24"/>
          <w:lang w:eastAsia="es-CO"/>
        </w:rPr>
      </w:pPr>
      <w:r w:rsidRPr="00225B40">
        <w:rPr>
          <w:rFonts w:eastAsia="Times New Roman"/>
          <w:i/>
          <w:szCs w:val="24"/>
          <w:lang w:eastAsia="es-CO"/>
        </w:rPr>
        <w:t>“…</w:t>
      </w:r>
    </w:p>
    <w:p w:rsidR="00820720" w:rsidRPr="00B011BB" w:rsidRDefault="00820720" w:rsidP="00820720">
      <w:pPr>
        <w:spacing w:line="240" w:lineRule="auto"/>
        <w:ind w:left="284"/>
        <w:rPr>
          <w:rFonts w:eastAsia="Times New Roman"/>
          <w:szCs w:val="24"/>
          <w:highlight w:val="green"/>
          <w:lang w:eastAsia="es-CO"/>
        </w:rPr>
      </w:pPr>
      <w:r w:rsidRPr="00B011BB">
        <w:rPr>
          <w:rFonts w:eastAsia="Times New Roman"/>
          <w:i/>
          <w:szCs w:val="24"/>
          <w:highlight w:val="green"/>
          <w:lang w:eastAsia="es-CO"/>
        </w:rPr>
        <w:t>Así las cosas, las entidades mencionadas, deberán causar, practicar, declarar y consignar las retenciones en la fuente en el momento en que por existir la disponibilidad de recursos se efectúe el pago objeto de retención, descontándola del mismo.</w:t>
      </w:r>
    </w:p>
    <w:p w:rsidR="00820720" w:rsidRPr="00225B40" w:rsidRDefault="00820720" w:rsidP="00820720">
      <w:pPr>
        <w:spacing w:line="240" w:lineRule="auto"/>
        <w:ind w:left="284"/>
        <w:rPr>
          <w:rFonts w:eastAsia="Times New Roman"/>
          <w:szCs w:val="24"/>
          <w:lang w:eastAsia="es-CO"/>
        </w:rPr>
      </w:pPr>
      <w:r w:rsidRPr="00B011BB">
        <w:rPr>
          <w:rFonts w:eastAsia="Times New Roman"/>
          <w:i/>
          <w:szCs w:val="24"/>
          <w:highlight w:val="green"/>
          <w:lang w:eastAsia="es-CO"/>
        </w:rPr>
        <w:t>…</w:t>
      </w:r>
    </w:p>
    <w:p w:rsidR="00820720" w:rsidRPr="00B011BB" w:rsidRDefault="00820720" w:rsidP="00820720">
      <w:pPr>
        <w:spacing w:line="240" w:lineRule="auto"/>
        <w:ind w:left="284"/>
        <w:rPr>
          <w:rFonts w:eastAsia="Times New Roman"/>
          <w:szCs w:val="24"/>
          <w:highlight w:val="green"/>
          <w:lang w:eastAsia="es-CO"/>
        </w:rPr>
      </w:pPr>
      <w:r w:rsidRPr="00B011BB">
        <w:rPr>
          <w:rFonts w:eastAsia="Times New Roman"/>
          <w:i/>
          <w:szCs w:val="24"/>
          <w:highlight w:val="green"/>
          <w:u w:val="single"/>
          <w:lang w:eastAsia="es-CO"/>
        </w:rPr>
        <w:t>En el evento que una de las partes que celebre un contrato lleve contabilidad por el sistema de causación y la otra sea una entidad ejecutora del Presupuesto General de la Nación, la primera podrá descontar la retención en la fuente en el año en que la entidad la practique, de conformidad con las normas citadas, teniendo en cuenta que la entidad pública ejecutora del presupuesto nacional solo puede certificar la práctica de la retención una vez la efectúe</w:t>
      </w:r>
      <w:r w:rsidRPr="00B011BB">
        <w:rPr>
          <w:rFonts w:eastAsia="Times New Roman"/>
          <w:i/>
          <w:szCs w:val="24"/>
          <w:highlight w:val="green"/>
          <w:lang w:eastAsia="es-CO"/>
        </w:rPr>
        <w:t>.</w:t>
      </w:r>
    </w:p>
    <w:p w:rsidR="00820720" w:rsidRPr="00225B40" w:rsidRDefault="00820720" w:rsidP="00820720">
      <w:pPr>
        <w:spacing w:line="240" w:lineRule="auto"/>
        <w:ind w:left="284"/>
        <w:rPr>
          <w:rFonts w:eastAsia="Times New Roman"/>
          <w:szCs w:val="24"/>
          <w:lang w:eastAsia="es-CO"/>
        </w:rPr>
      </w:pPr>
      <w:r w:rsidRPr="00B011BB">
        <w:rPr>
          <w:rFonts w:eastAsia="Times New Roman"/>
          <w:i/>
          <w:szCs w:val="24"/>
          <w:highlight w:val="green"/>
          <w:lang w:eastAsia="es-CO"/>
        </w:rPr>
        <w:t xml:space="preserve">…” </w:t>
      </w:r>
      <w:r w:rsidRPr="00B011BB">
        <w:rPr>
          <w:rFonts w:eastAsia="Times New Roman"/>
          <w:szCs w:val="24"/>
          <w:highlight w:val="green"/>
          <w:lang w:eastAsia="es-CO"/>
        </w:rPr>
        <w:t>(subrayado fuera de texto).</w:t>
      </w:r>
    </w:p>
    <w:p w:rsidR="00820720" w:rsidRPr="00225B40" w:rsidRDefault="00820720" w:rsidP="00820720">
      <w:pPr>
        <w:spacing w:line="240" w:lineRule="auto"/>
        <w:rPr>
          <w:rFonts w:eastAsia="Times New Roman"/>
          <w:szCs w:val="24"/>
          <w:lang w:eastAsia="es-CO"/>
        </w:rPr>
      </w:pPr>
      <w:r w:rsidRPr="00225B40">
        <w:rPr>
          <w:rFonts w:eastAsia="Times New Roman"/>
          <w:szCs w:val="24"/>
          <w:lang w:eastAsia="es-CO"/>
        </w:rPr>
        <w:t> </w:t>
      </w:r>
    </w:p>
    <w:p w:rsidR="00820720" w:rsidRPr="00225B40" w:rsidRDefault="00820720" w:rsidP="00820720">
      <w:pPr>
        <w:spacing w:line="240" w:lineRule="auto"/>
        <w:rPr>
          <w:rFonts w:eastAsia="Times New Roman"/>
          <w:szCs w:val="24"/>
          <w:lang w:eastAsia="es-CO"/>
        </w:rPr>
      </w:pPr>
      <w:r w:rsidRPr="00225B40">
        <w:rPr>
          <w:rFonts w:eastAsia="Times New Roman"/>
          <w:szCs w:val="24"/>
          <w:lang w:eastAsia="es-CO"/>
        </w:rPr>
        <w:lastRenderedPageBreak/>
        <w:t>En cuanto a la manera de armonizar la causación de la retención en la fuente cuando retenedor y retenido la registran de manera diferente, la Subdirección Jurídica en el Concepto No. 029144 del 21 de noviembre de 1990, expresó:</w:t>
      </w:r>
    </w:p>
    <w:p w:rsidR="00820720" w:rsidRPr="00225B40" w:rsidRDefault="00820720" w:rsidP="00820720">
      <w:pPr>
        <w:spacing w:line="240" w:lineRule="auto"/>
        <w:ind w:left="284"/>
        <w:rPr>
          <w:rFonts w:eastAsia="Times New Roman"/>
          <w:szCs w:val="24"/>
          <w:lang w:eastAsia="es-CO"/>
        </w:rPr>
      </w:pPr>
      <w:r w:rsidRPr="00225B40">
        <w:rPr>
          <w:rFonts w:eastAsia="Times New Roman"/>
          <w:szCs w:val="24"/>
          <w:lang w:eastAsia="es-CO"/>
        </w:rPr>
        <w:t> </w:t>
      </w:r>
    </w:p>
    <w:p w:rsidR="00820720" w:rsidRPr="00225B40" w:rsidRDefault="00820720" w:rsidP="00820720">
      <w:pPr>
        <w:spacing w:line="240" w:lineRule="auto"/>
        <w:ind w:left="284"/>
        <w:rPr>
          <w:rFonts w:eastAsia="Times New Roman"/>
          <w:szCs w:val="24"/>
          <w:lang w:eastAsia="es-CO"/>
        </w:rPr>
      </w:pPr>
      <w:r w:rsidRPr="00225B40">
        <w:rPr>
          <w:rFonts w:eastAsia="Times New Roman"/>
          <w:i/>
          <w:szCs w:val="24"/>
          <w:lang w:eastAsia="es-CO"/>
        </w:rPr>
        <w:t xml:space="preserve">“El principio general que rige en materia de retención en la fuente es que esta se causa en el momento en que se efectúe el pago o abono en cuenta sujeto a la misma, lo que ocurra primero. Cuando el retenedor y el retenido llevan contabilidad por el sistema de causación, debe coincidir para ambos el mismo momento, que es el abono en cuenta efectuado cuando se hace exigible el pago. </w:t>
      </w:r>
      <w:r w:rsidRPr="00225B40">
        <w:rPr>
          <w:rFonts w:eastAsia="Times New Roman"/>
          <w:i/>
          <w:szCs w:val="24"/>
          <w:u w:val="single"/>
          <w:lang w:eastAsia="es-CO"/>
        </w:rPr>
        <w:t>Pero no coinciden cuando uno de los dos no lleva contabilidad, o se trata de una entidad pública que por razones presupuestales no puede contabilizar la retención sino en el momento del pago</w:t>
      </w:r>
      <w:r w:rsidRPr="00225B40">
        <w:rPr>
          <w:rFonts w:eastAsia="Times New Roman"/>
          <w:i/>
          <w:szCs w:val="24"/>
          <w:lang w:eastAsia="es-CO"/>
        </w:rPr>
        <w:t>.</w:t>
      </w:r>
    </w:p>
    <w:p w:rsidR="00820720" w:rsidRPr="00225B40" w:rsidRDefault="00820720" w:rsidP="00820720">
      <w:pPr>
        <w:spacing w:line="240" w:lineRule="auto"/>
        <w:ind w:left="284"/>
        <w:rPr>
          <w:rFonts w:eastAsia="Times New Roman"/>
          <w:szCs w:val="24"/>
          <w:lang w:eastAsia="es-CO"/>
        </w:rPr>
      </w:pPr>
      <w:r w:rsidRPr="00225B40">
        <w:rPr>
          <w:rFonts w:eastAsia="Times New Roman"/>
          <w:szCs w:val="24"/>
          <w:lang w:eastAsia="es-CO"/>
        </w:rPr>
        <w:t> </w:t>
      </w:r>
    </w:p>
    <w:p w:rsidR="00820720" w:rsidRPr="003E758E" w:rsidRDefault="00820720" w:rsidP="00820720">
      <w:pPr>
        <w:spacing w:line="240" w:lineRule="auto"/>
        <w:ind w:left="284"/>
        <w:rPr>
          <w:rFonts w:eastAsia="Times New Roman"/>
          <w:b/>
          <w:sz w:val="36"/>
          <w:szCs w:val="36"/>
          <w:lang w:eastAsia="es-CO"/>
        </w:rPr>
      </w:pPr>
      <w:r w:rsidRPr="00B011BB">
        <w:rPr>
          <w:rFonts w:eastAsia="Times New Roman"/>
          <w:b/>
          <w:i/>
          <w:szCs w:val="24"/>
          <w:highlight w:val="green"/>
          <w:u w:val="single"/>
          <w:lang w:eastAsia="es-CO"/>
        </w:rPr>
        <w:t>Esta situación genera dificultades al finalizar el año, cuando se contabiliza el ingreso en un período gravable, pero el pago se realiza en el siguiente período</w:t>
      </w:r>
      <w:r w:rsidRPr="003E758E">
        <w:rPr>
          <w:rFonts w:eastAsia="Times New Roman"/>
          <w:b/>
          <w:i/>
          <w:sz w:val="36"/>
          <w:szCs w:val="36"/>
          <w:highlight w:val="green"/>
          <w:u w:val="single"/>
          <w:lang w:eastAsia="es-CO"/>
        </w:rPr>
        <w:t>, surgiendo para el retenido la necesidad de trasladar la retención en la fuente que hubiere registrado, para el siguiente período, toda vez que el certificado de retenciones tendrá como fecha de la retención, la del pago</w:t>
      </w:r>
      <w:r w:rsidRPr="003E758E">
        <w:rPr>
          <w:rFonts w:eastAsia="Times New Roman"/>
          <w:b/>
          <w:i/>
          <w:sz w:val="36"/>
          <w:szCs w:val="36"/>
          <w:highlight w:val="green"/>
          <w:lang w:eastAsia="es-CO"/>
        </w:rPr>
        <w:t>.</w:t>
      </w:r>
    </w:p>
    <w:p w:rsidR="00820720" w:rsidRPr="003E758E" w:rsidRDefault="00820720" w:rsidP="00820720">
      <w:pPr>
        <w:spacing w:line="240" w:lineRule="auto"/>
        <w:ind w:left="284"/>
        <w:rPr>
          <w:rFonts w:eastAsia="Times New Roman"/>
          <w:b/>
          <w:sz w:val="36"/>
          <w:szCs w:val="36"/>
          <w:lang w:eastAsia="es-CO"/>
        </w:rPr>
      </w:pPr>
      <w:r w:rsidRPr="003E758E">
        <w:rPr>
          <w:rFonts w:eastAsia="Times New Roman"/>
          <w:b/>
          <w:sz w:val="36"/>
          <w:szCs w:val="36"/>
          <w:lang w:eastAsia="es-CO"/>
        </w:rPr>
        <w:t> </w:t>
      </w:r>
    </w:p>
    <w:p w:rsidR="00820720" w:rsidRPr="00225B40" w:rsidRDefault="00820720" w:rsidP="00820720">
      <w:pPr>
        <w:spacing w:line="240" w:lineRule="auto"/>
        <w:ind w:left="284"/>
        <w:rPr>
          <w:rFonts w:eastAsia="Times New Roman"/>
          <w:szCs w:val="24"/>
          <w:lang w:eastAsia="es-CO"/>
        </w:rPr>
      </w:pPr>
      <w:r w:rsidRPr="00225B40">
        <w:rPr>
          <w:rFonts w:eastAsia="Times New Roman"/>
          <w:i/>
          <w:szCs w:val="24"/>
          <w:lang w:eastAsia="es-CO"/>
        </w:rPr>
        <w:t xml:space="preserve">En conclusión, consideramos que dadas las disposiciones vigentes, </w:t>
      </w:r>
      <w:r w:rsidRPr="00225B40">
        <w:rPr>
          <w:rFonts w:eastAsia="Times New Roman"/>
          <w:i/>
          <w:szCs w:val="24"/>
          <w:u w:val="single"/>
          <w:lang w:eastAsia="es-CO"/>
        </w:rPr>
        <w:t>en caso de existir desfase entre retenedor y retenido, ha de tenerse en cuenta que</w:t>
      </w:r>
      <w:r w:rsidRPr="00225B40">
        <w:rPr>
          <w:rFonts w:eastAsia="Times New Roman"/>
          <w:i/>
          <w:szCs w:val="24"/>
          <w:lang w:eastAsia="es-CO"/>
        </w:rPr>
        <w:t xml:space="preserve"> si el retenedor no efectúa abono en cuenta, </w:t>
      </w:r>
      <w:r w:rsidRPr="00225B40">
        <w:rPr>
          <w:rFonts w:eastAsia="Times New Roman"/>
          <w:i/>
          <w:szCs w:val="24"/>
          <w:u w:val="single"/>
          <w:lang w:eastAsia="es-CO"/>
        </w:rPr>
        <w:t>el hecho que ocurre primero es el pago y este será el verdadero momento en que nace la obligación de efectuar la retención en la fuente, debiendo el retenido ajustarse a esta fecha, cuando las circunstancias descritas así lo exijan.</w:t>
      </w:r>
      <w:r w:rsidRPr="00225B40">
        <w:rPr>
          <w:rFonts w:eastAsia="Times New Roman"/>
          <w:i/>
          <w:szCs w:val="24"/>
          <w:lang w:eastAsia="es-CO"/>
        </w:rPr>
        <w:t xml:space="preserve">” </w:t>
      </w:r>
      <w:r w:rsidRPr="00225B40">
        <w:rPr>
          <w:rFonts w:eastAsia="Times New Roman"/>
          <w:szCs w:val="24"/>
          <w:lang w:eastAsia="es-CO"/>
        </w:rPr>
        <w:t>(subrayado fuera de texto).</w:t>
      </w:r>
    </w:p>
    <w:p w:rsidR="00820720" w:rsidRPr="00225B40" w:rsidRDefault="00820720" w:rsidP="00820720">
      <w:pPr>
        <w:spacing w:line="240" w:lineRule="auto"/>
        <w:rPr>
          <w:rFonts w:eastAsia="Times New Roman"/>
          <w:szCs w:val="24"/>
          <w:lang w:eastAsia="es-CO"/>
        </w:rPr>
      </w:pPr>
      <w:r w:rsidRPr="00225B40">
        <w:rPr>
          <w:rFonts w:eastAsia="Times New Roman"/>
          <w:szCs w:val="24"/>
          <w:lang w:eastAsia="es-CO"/>
        </w:rPr>
        <w:t> </w:t>
      </w:r>
    </w:p>
    <w:p w:rsidR="00820720" w:rsidRPr="00225B40" w:rsidRDefault="00820720" w:rsidP="00820720">
      <w:pPr>
        <w:spacing w:line="240" w:lineRule="auto"/>
        <w:rPr>
          <w:rFonts w:eastAsia="Times New Roman"/>
          <w:szCs w:val="24"/>
          <w:lang w:eastAsia="es-CO"/>
        </w:rPr>
      </w:pPr>
      <w:r w:rsidRPr="00225B40">
        <w:rPr>
          <w:rFonts w:eastAsia="Times New Roman"/>
          <w:szCs w:val="24"/>
          <w:lang w:eastAsia="es-CO"/>
        </w:rPr>
        <w:t>Respecto al contenido de la información exógena, comedidamente remitimos para su ilustración, fotocopia del Concepto No. 043820 del 30 de abril de 2008 por constituir la doctrina vigente.</w:t>
      </w:r>
    </w:p>
    <w:p w:rsidR="00820720" w:rsidRPr="00225B40" w:rsidRDefault="00820720" w:rsidP="00820720">
      <w:pPr>
        <w:spacing w:line="240" w:lineRule="auto"/>
        <w:rPr>
          <w:rFonts w:eastAsia="Times New Roman"/>
          <w:szCs w:val="24"/>
          <w:lang w:eastAsia="es-CO"/>
        </w:rPr>
      </w:pPr>
      <w:r w:rsidRPr="00225B40">
        <w:rPr>
          <w:rFonts w:eastAsia="Times New Roman"/>
          <w:szCs w:val="24"/>
          <w:lang w:eastAsia="es-CO"/>
        </w:rPr>
        <w:t> </w:t>
      </w:r>
    </w:p>
    <w:p w:rsidR="00820720" w:rsidRPr="00225B40" w:rsidRDefault="00820720" w:rsidP="00820720">
      <w:pPr>
        <w:spacing w:line="240" w:lineRule="auto"/>
        <w:rPr>
          <w:rFonts w:eastAsia="Times New Roman"/>
          <w:szCs w:val="24"/>
          <w:lang w:eastAsia="es-CO"/>
        </w:rPr>
      </w:pPr>
      <w:r w:rsidRPr="00225B40">
        <w:rPr>
          <w:rFonts w:eastAsia="Times New Roman"/>
          <w:szCs w:val="24"/>
          <w:lang w:eastAsia="es-CO"/>
        </w:rPr>
        <w:t> </w:t>
      </w:r>
    </w:p>
    <w:p w:rsidR="00820720" w:rsidRPr="00225B40" w:rsidRDefault="00820720" w:rsidP="00820720">
      <w:pPr>
        <w:spacing w:line="240" w:lineRule="auto"/>
        <w:rPr>
          <w:rFonts w:eastAsia="Times New Roman"/>
          <w:szCs w:val="24"/>
          <w:lang w:eastAsia="es-CO"/>
        </w:rPr>
      </w:pPr>
      <w:r w:rsidRPr="00225B40">
        <w:rPr>
          <w:rFonts w:eastAsia="Times New Roman"/>
          <w:szCs w:val="24"/>
          <w:lang w:eastAsia="es-CO"/>
        </w:rPr>
        <w:t>Atentamente,</w:t>
      </w:r>
    </w:p>
    <w:p w:rsidR="00820720" w:rsidRPr="00225B40" w:rsidRDefault="00820720" w:rsidP="00820720">
      <w:pPr>
        <w:spacing w:line="240" w:lineRule="auto"/>
        <w:rPr>
          <w:rFonts w:eastAsia="Times New Roman"/>
          <w:szCs w:val="24"/>
          <w:lang w:eastAsia="es-CO"/>
        </w:rPr>
      </w:pPr>
      <w:r w:rsidRPr="00225B40">
        <w:rPr>
          <w:rFonts w:eastAsia="Times New Roman"/>
          <w:szCs w:val="24"/>
          <w:lang w:eastAsia="es-CO"/>
        </w:rPr>
        <w:t> </w:t>
      </w:r>
    </w:p>
    <w:p w:rsidR="00820720" w:rsidRPr="00225B40" w:rsidRDefault="00820720" w:rsidP="00820720">
      <w:pPr>
        <w:spacing w:line="240" w:lineRule="auto"/>
        <w:rPr>
          <w:rFonts w:eastAsia="Times New Roman"/>
          <w:szCs w:val="24"/>
          <w:lang w:eastAsia="es-CO"/>
        </w:rPr>
      </w:pPr>
      <w:r w:rsidRPr="00225B40">
        <w:rPr>
          <w:rFonts w:eastAsia="Times New Roman"/>
          <w:szCs w:val="24"/>
          <w:lang w:eastAsia="es-CO"/>
        </w:rPr>
        <w:t> </w:t>
      </w:r>
    </w:p>
    <w:p w:rsidR="00820720" w:rsidRPr="00225B40" w:rsidRDefault="00820720" w:rsidP="00820720">
      <w:pPr>
        <w:spacing w:line="240" w:lineRule="auto"/>
        <w:rPr>
          <w:rFonts w:eastAsia="Times New Roman"/>
          <w:szCs w:val="24"/>
          <w:lang w:eastAsia="es-CO"/>
        </w:rPr>
      </w:pPr>
      <w:r w:rsidRPr="00225B40">
        <w:rPr>
          <w:rFonts w:eastAsia="Times New Roman"/>
          <w:b/>
          <w:szCs w:val="24"/>
          <w:lang w:eastAsia="es-CO"/>
        </w:rPr>
        <w:t>LEONOR EUGENIA RUIZ DE VILLALOBOS</w:t>
      </w:r>
    </w:p>
    <w:p w:rsidR="00820720" w:rsidRPr="00225B40" w:rsidRDefault="00820720" w:rsidP="00820720">
      <w:pPr>
        <w:spacing w:line="240" w:lineRule="auto"/>
        <w:rPr>
          <w:rFonts w:eastAsia="Times New Roman"/>
          <w:szCs w:val="24"/>
          <w:lang w:eastAsia="es-CO"/>
        </w:rPr>
      </w:pPr>
      <w:r w:rsidRPr="00225B40">
        <w:rPr>
          <w:rFonts w:eastAsia="Times New Roman"/>
          <w:szCs w:val="24"/>
          <w:lang w:eastAsia="es-CO"/>
        </w:rPr>
        <w:t>Subdirectora de Gestión Normativa y Doctrina</w:t>
      </w:r>
    </w:p>
    <w:p w:rsidR="00820720" w:rsidRPr="00225B40" w:rsidRDefault="00820720" w:rsidP="00820720">
      <w:pPr>
        <w:spacing w:before="100" w:beforeAutospacing="1" w:after="100" w:afterAutospacing="1" w:line="240" w:lineRule="auto"/>
        <w:jc w:val="left"/>
        <w:rPr>
          <w:rFonts w:eastAsia="Times New Roman"/>
          <w:szCs w:val="24"/>
          <w:lang w:eastAsia="es-CO"/>
        </w:rPr>
      </w:pPr>
      <w:r w:rsidRPr="00225B40">
        <w:rPr>
          <w:rFonts w:eastAsia="Times New Roman"/>
          <w:szCs w:val="24"/>
          <w:lang w:eastAsia="es-CO"/>
        </w:rPr>
        <w:t> </w:t>
      </w:r>
    </w:p>
    <w:sectPr w:rsidR="00820720" w:rsidRPr="00225B4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20"/>
    <w:rsid w:val="00225B40"/>
    <w:rsid w:val="003E758E"/>
    <w:rsid w:val="006A13BC"/>
    <w:rsid w:val="00820720"/>
    <w:rsid w:val="00A067C7"/>
    <w:rsid w:val="00B011BB"/>
    <w:rsid w:val="00B51D80"/>
    <w:rsid w:val="00EE61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5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466" TargetMode="External"/><Relationship Id="rId3" Type="http://schemas.openxmlformats.org/officeDocument/2006/relationships/settings" Target="settings.xml"/><Relationship Id="rId7" Type="http://schemas.openxmlformats.org/officeDocument/2006/relationships/hyperlink" Target="http://www.ceta.org.co/html/vista_de_un_articulo.asp?Norma=46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466" TargetMode="External"/><Relationship Id="rId5" Type="http://schemas.openxmlformats.org/officeDocument/2006/relationships/hyperlink" Target="http://www.ceta.org.co/html/vista_de_un_articulo.asp?Norma=45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6494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2015-01-11T21:48:00Z</dcterms:created>
  <dcterms:modified xsi:type="dcterms:W3CDTF">2015-01-11T21:48:00Z</dcterms:modified>
</cp:coreProperties>
</file>